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АНАЛІЗ</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Стану організації роботи за зверненням громадян</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Московському районному суді м. Харкова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 І півріччя 2021 року</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звітний період до Московського районного суду м. Харкова надійшло 6 звернень, що розглянуті відповідно до положень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звернення громадян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 яких:</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Пропозицій (зауважень)- 0.</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 (клопотань)- 3.</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Скарг-3.</w:t>
      </w:r>
    </w:p>
    <w:p>
      <w:pPr>
        <w:tabs>
          <w:tab w:val="left" w:pos="141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Скарги надійшли за змістом: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невидачу копій судових документів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дії суддів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тому числі на тривалий не розгляд справ і тяганину при розгляді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незгоду з судовим рішенням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несвоєчасне направлення справи до апеляційної інстанції - 0,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організацію роботи суду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інші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Всі скарги розглянуті по суті.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w:t>
      </w:r>
      <w:r>
        <w:rPr>
          <w:rFonts w:ascii="Times New Roman" w:hAnsi="Times New Roman" w:cs="Times New Roman" w:eastAsia="Times New Roman"/>
          <w:color w:val="auto"/>
          <w:spacing w:val="0"/>
          <w:position w:val="0"/>
          <w:sz w:val="24"/>
          <w:shd w:fill="auto" w:val="clear"/>
        </w:rPr>
        <w:t xml:space="preserve">ґрунтованих скарг -1.</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Скарги, які надійшли, у той же день реєструються та передаються виконавцю під розпис в журналі реєстрації скарг. Одночасно заводиться провадження за скаргою.</w:t>
      </w:r>
    </w:p>
    <w:p>
      <w:pPr>
        <w:spacing w:before="0" w:after="0" w:line="240"/>
        <w:ind w:right="0" w:left="0" w:firstLine="72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Скарги розглянуті в наступні строки: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5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15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30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45 діб -  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понад 45 діб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Особа, на виконання якої надійшла скарга, перш ніж дати відповідь, перевіряє її об</w:t>
      </w:r>
      <w:r>
        <w:rPr>
          <w:rFonts w:ascii="Times New Roman" w:hAnsi="Times New Roman" w:cs="Times New Roman" w:eastAsia="Times New Roman"/>
          <w:color w:val="auto"/>
          <w:spacing w:val="0"/>
          <w:position w:val="0"/>
          <w:sz w:val="24"/>
          <w:shd w:fill="auto" w:val="clear"/>
        </w:rPr>
        <w:t xml:space="preserve">ґрунтованість, після чого надається розгорнута відповідь на питання, подані у скарзі.</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Особлива увага приділяється скаргам, які надійшли повторно, та на організацію роботи суду.</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Аналіз показує, що більшість скарг, що надійшли, це скарги щодо невдоволення діями суддів та організацію роботи суду та на інші питання, які надходять від громадян.</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Якщо в скарзі йде мова про організацію роботи суду, то судом вживаються всі заходи для того, щоб покращити організацію роботи працівників суду, оптимізувати процес надання інформації та збільшити кількість приймальних годин суду.</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Всі скарги реєструються у журналі реєстрації скарг.</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Скарги заведені в окреме провадження, прошиті та пронумеровані, кожній справі присвоєний порядковий номер.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НАДХОДЖЕННЯ СКАРГ ПО ЗОНАМ СУДДІВ: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Афанасьєв В.О.</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Кононенко Т.О.</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Поліщук Т.В.</w:t>
        <w:tab/>
        <w:tab/>
        <w:tab/>
        <w:tab/>
        <w:t xml:space="preserve">надійшло скарг - 1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Єрмак Н.В.</w:t>
        <w:tab/>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Скотар А.Ю.</w:t>
        <w:tab/>
        <w:tab/>
        <w:tab/>
        <w:tab/>
        <w:t xml:space="preserve">надійшло скарг - 0</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Харченко А.М. </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Майстренко О.М.</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Сугачова О.О.</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Довготько Т.М.</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Горбунова Я.М.    </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Задорожня А.М.        </w:t>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Крівцов Д.А.</w:t>
        <w:tab/>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Мельникова І.Д. </w:t>
        <w:tab/>
        <w:tab/>
        <w:tab/>
        <w:t xml:space="preserve">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Олійник О.О.                                     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Новіченко Н.В.                                  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Власенко М.В.                                   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Осадчий О.В.                                     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Тимош О.М.                                       надійшло скарг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Семенова Я.Ю.                                  надійшло скарг - 1</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4"/>
          <w:shd w:fill="auto" w:val="clear"/>
        </w:rPr>
      </w:pPr>
      <w:r>
        <w:rPr>
          <w:rFonts w:ascii="Courier New" w:hAnsi="Courier New" w:cs="Courier New" w:eastAsia="Courier New"/>
          <w:b/>
          <w:color w:val="auto"/>
          <w:spacing w:val="0"/>
          <w:position w:val="0"/>
          <w:sz w:val="24"/>
          <w:shd w:fill="auto" w:val="clear"/>
        </w:rPr>
        <w:t xml:space="preserve">1.</w:t>
      </w:r>
      <w:r>
        <w:rPr>
          <w:rFonts w:ascii="Courier New" w:hAnsi="Courier New" w:cs="Courier New" w:eastAsia="Courier New"/>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21.05.2021 </w:t>
      </w:r>
      <w:r>
        <w:rPr>
          <w:rFonts w:ascii="Times New Roman" w:hAnsi="Times New Roman" w:cs="Times New Roman" w:eastAsia="Times New Roman"/>
          <w:color w:val="auto"/>
          <w:spacing w:val="0"/>
          <w:position w:val="0"/>
          <w:sz w:val="24"/>
          <w:shd w:fill="auto" w:val="clear"/>
        </w:rPr>
        <w:t xml:space="preserve">до Московського районного суду м. Харкова надійшла скарга Мици В.П., щодо несвоєчасного направлення повісток по справі, в якій він є учасником, та на неналежне оформлення судової справи, яку він отримав для ознайомлення.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підставі розпорядження керівника апарату суду проведено перевірку фактів викладених у вказаній скарзі.</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відповіді на скаргу Мици В.П., зазначено, що у ході перевірки комісією встановлено, що судові повістки із зворотнім повідомленням, вся поштова кореспонденція протягом усього розгляду справи передавалися своєчасно до канцелярії Московського районного суду м. Харкова для відправки, проте через відсутність марок необхідного номіналу поштова кореспонденція не відправлялася, про що свідчать акти від 25.03.2021 року, 09.04.2021 року, 19.04.2021 року в додатках до пояснювальної Свешнікової О.О. </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 приводу того що секретар судового засідання Свешнікова О.О.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спромоглась забрати у неї матеріали справи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як зазначено у скарзі Мици В.П. - такі обставини комісії перевірити не має можливості.</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результатами перевірки комісією встановлено, що секретарем судових засідань Московського районного суду м. Харкова Свешніковою О.О. при видачі на ознайомлення справи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2027/12664/12 </w:t>
      </w:r>
      <w:r>
        <w:rPr>
          <w:rFonts w:ascii="Times New Roman" w:hAnsi="Times New Roman" w:cs="Times New Roman" w:eastAsia="Times New Roman"/>
          <w:color w:val="auto"/>
          <w:spacing w:val="0"/>
          <w:position w:val="0"/>
          <w:sz w:val="24"/>
          <w:shd w:fill="auto" w:val="clear"/>
        </w:rPr>
        <w:t xml:space="preserve">за скаргою Слюсаренка В. О. на неправомірні дії та бездіяльність державного виконавця Міжрайонного відділу державної виконавчої служби по Холодногірському та Новобаварському районах у місті Харкові Східного міжрегіонального управління Міністерства юстиції (м. Харків) у зведеному виконавчому провадженні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54661868, </w:t>
      </w:r>
      <w:r>
        <w:rPr>
          <w:rFonts w:ascii="Times New Roman" w:hAnsi="Times New Roman" w:cs="Times New Roman" w:eastAsia="Times New Roman"/>
          <w:color w:val="auto"/>
          <w:spacing w:val="0"/>
          <w:position w:val="0"/>
          <w:sz w:val="24"/>
          <w:shd w:fill="auto" w:val="clear"/>
        </w:rPr>
        <w:t xml:space="preserve">порушено вимоги п. 8 Розділу VІІ, п. 4 Розділу X Інструкції з діловодства в місцевих та апеляційних судах України затвердженої наказом Державної судової адміністрації України від 20.08.2019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814 (</w:t>
      </w:r>
      <w:r>
        <w:rPr>
          <w:rFonts w:ascii="Times New Roman" w:hAnsi="Times New Roman" w:cs="Times New Roman" w:eastAsia="Times New Roman"/>
          <w:color w:val="auto"/>
          <w:spacing w:val="0"/>
          <w:position w:val="0"/>
          <w:sz w:val="24"/>
          <w:shd w:fill="auto" w:val="clear"/>
        </w:rPr>
        <w:t xml:space="preserve">зі змінами, наказ ДСА України від 24.12.2019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1196).</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6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огляду на вище викладене, враховуючи досвід роботи та сумлінне ставлення до посадових обов’язків Свешнікової О.О., комісія вважає за необхідне попередити її про застосування до неї заходів дисциплінарного впливу у разі порушення у майбутньому Інструкції з діловодства в місцевих та апеляційних судах України (зі змінами, наказ ДСА України від 24.12.2019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1196) </w:t>
      </w:r>
      <w:r>
        <w:rPr>
          <w:rFonts w:ascii="Times New Roman" w:hAnsi="Times New Roman" w:cs="Times New Roman" w:eastAsia="Times New Roman"/>
          <w:color w:val="auto"/>
          <w:spacing w:val="0"/>
          <w:position w:val="0"/>
          <w:sz w:val="24"/>
          <w:shd w:fill="auto" w:val="clear"/>
        </w:rPr>
        <w:t xml:space="preserve">затверджено Наказом Державної судової адміністрації України від 20.08.2019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814, </w:t>
      </w:r>
      <w:r>
        <w:rPr>
          <w:rFonts w:ascii="Times New Roman" w:hAnsi="Times New Roman" w:cs="Times New Roman" w:eastAsia="Times New Roman"/>
          <w:color w:val="auto"/>
          <w:spacing w:val="0"/>
          <w:position w:val="0"/>
          <w:sz w:val="24"/>
          <w:shd w:fill="auto" w:val="clear"/>
        </w:rPr>
        <w:t xml:space="preserve">Положення про автоматизовану систему документообігу суду затвердженого рішенням ради суддів України 26.11.2010 року та усієї нормативно-правової бази в цілому.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Висновки та пропозиції:</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142" w:firstLine="862"/>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Підводячи підсумки щодо організації діяльності суду по роботі зі зверненнями громадян, слід зазначити, що ця робота здійснюється у суді у відповідності з вимогами законодавства, неухильно дотримуються положення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звернення громадян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Постанови КМ України від 14.04.1997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348 «</w:t>
      </w:r>
      <w:r>
        <w:rPr>
          <w:rFonts w:ascii="Times New Roman" w:hAnsi="Times New Roman" w:cs="Times New Roman" w:eastAsia="Times New Roman"/>
          <w:color w:val="auto"/>
          <w:spacing w:val="0"/>
          <w:position w:val="0"/>
          <w:sz w:val="24"/>
          <w:shd w:fill="auto" w:val="clear"/>
        </w:rPr>
        <w:t xml:space="preserve">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 розгляду звернень громадян та робота по наданню інформації систематично обговорюється на нарадах суду, де звертається увага на посилення контролю за виконанням приписів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звернення громадян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частині своєчасності та повноти надання відповідей по зверненням громадян, аналізуються  скарги, виправляються виявлені помилки, розглядаються питання, що поставлені громадянами в скаргах, що у свою чергу підтверджується позитивною динамікою зменшення поданих скарг до суду.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Причини, з яких громадяни звертаються до суду з заявами та скаргами є досить різноманітними. </w:t>
      </w:r>
      <w:r>
        <w:rPr>
          <w:rFonts w:ascii="Times New Roman" w:hAnsi="Times New Roman" w:cs="Times New Roman" w:eastAsia="Times New Roman"/>
          <w:color w:val="auto"/>
          <w:spacing w:val="-1"/>
          <w:position w:val="0"/>
          <w:sz w:val="24"/>
          <w:shd w:fill="auto" w:val="clear"/>
        </w:rPr>
        <w:t xml:space="preserve">Найпоширенішим зверненням, є звернення з інших питань, </w:t>
      </w:r>
      <w:r>
        <w:rPr>
          <w:rFonts w:ascii="Times New Roman" w:hAnsi="Times New Roman" w:cs="Times New Roman" w:eastAsia="Times New Roman"/>
          <w:color w:val="auto"/>
          <w:spacing w:val="0"/>
          <w:position w:val="0"/>
          <w:sz w:val="24"/>
          <w:shd w:fill="auto" w:val="clear"/>
        </w:rPr>
        <w:t xml:space="preserve">причинами яких є, як правило, правова необізнаність, та бажання громадян отримати юридичну консультацію. Досить поширеним є звернення громадян на ім’я голови суду за для впливу на інших суддів, якими на думку громадян порушуються норми процесуального законодавства, хоча це в свою чергу категорично заборонено нормами чинного законодавства. Також варто уваги питання щодо оплати праці працівників апарату суду та великої завантаженості при виконанні службових обов’язків, оскільки цей аспект беззаперечно впливає на якість роботи працівників апарату суду та якості судочинства в цілому.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підставі викладеного, було вирішено даний аналіз обговорити на оперативній нараді і вжити всі заходи щодо підтримання позитивної динаміки по зниженню кількості поданих скарг до суду, дотримання термінів розгляду цивільних, кримінальних справ, адміністративних справ, дотримання етики поведінки та покращення організації роботи суду. Також обговорити питання про надходження скарг і їх своєчасний та якісний розгляд з метою </w:t>
      </w:r>
      <w:r>
        <w:rPr>
          <w:rFonts w:ascii="Times New Roman" w:hAnsi="Times New Roman" w:cs="Times New Roman" w:eastAsia="Times New Roman"/>
          <w:color w:val="000000"/>
          <w:spacing w:val="0"/>
          <w:position w:val="0"/>
          <w:sz w:val="24"/>
          <w:shd w:fill="auto" w:val="clear"/>
        </w:rPr>
        <w:t xml:space="preserve">надання однозначних, об</w:t>
      </w:r>
      <w:r>
        <w:rPr>
          <w:rFonts w:ascii="Times New Roman" w:hAnsi="Times New Roman" w:cs="Times New Roman" w:eastAsia="Times New Roman"/>
          <w:color w:val="000000"/>
          <w:spacing w:val="0"/>
          <w:position w:val="0"/>
          <w:sz w:val="24"/>
          <w:shd w:fill="auto" w:val="clear"/>
        </w:rPr>
        <w:t xml:space="preserve">ґрунтованих та повних відповідей за зверненнями громадян, із дотриманням строків, установлених законодавством. З </w:t>
      </w:r>
      <w:r>
        <w:rPr>
          <w:rFonts w:ascii="Times New Roman" w:hAnsi="Times New Roman" w:cs="Times New Roman" w:eastAsia="Times New Roman"/>
          <w:color w:val="auto"/>
          <w:spacing w:val="0"/>
          <w:position w:val="0"/>
          <w:sz w:val="24"/>
          <w:shd w:fill="auto" w:val="clear"/>
        </w:rPr>
        <w:t xml:space="preserve">метою розвитку правової культури громадян на інформаційних стендах, веб-сторінці суду регулярно розміщувати інформацію законодавчого характеру, проводити з працівниками апарату суду наради з вивчення законодавства, що регулює розгляд звернень громадян, проводити заняття з культури ділового мовлення та навчати працівників правильно надавати відповіді на звернення громадян</w:t>
      </w:r>
      <w:r>
        <w:rPr>
          <w:rFonts w:ascii="Times New Roman" w:hAnsi="Times New Roman" w:cs="Times New Roman" w:eastAsia="Times New Roman"/>
          <w:color w:val="555577"/>
          <w:spacing w:val="0"/>
          <w:position w:val="0"/>
          <w:sz w:val="24"/>
          <w:shd w:fill="auto" w:val="clear"/>
        </w:rPr>
        <w:t xml:space="preserve">.</w:t>
      </w: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Голова Московського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районного суду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 Харкова</w:t>
        <w:tab/>
        <w:tab/>
        <w:tab/>
        <w:tab/>
        <w:tab/>
        <w:tab/>
        <w:tab/>
        <w:t xml:space="preserve">                            А.Ю. Скотар                                                               </w:t>
      </w: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І Н Ф О Р М А Ц І Я</w:t>
      </w: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щодо розгляду звернень громадян у Московському районному суді</w:t>
      </w:r>
    </w:p>
    <w:p>
      <w:pPr>
        <w:spacing w:before="0" w:after="0" w:line="240"/>
        <w:ind w:right="283"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за І півріччя 2021 року</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keepNext w:val="true"/>
        <w:spacing w:before="240" w:after="60" w:line="240"/>
        <w:ind w:right="0" w:left="-72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Розділ А. Надходження звернень (заяви, скарги, пропозиції) громадян</w:t>
      </w:r>
    </w:p>
    <w:tbl>
      <w:tblPr/>
      <w:tblGrid>
        <w:gridCol w:w="677"/>
        <w:gridCol w:w="859"/>
        <w:gridCol w:w="790"/>
        <w:gridCol w:w="598"/>
        <w:gridCol w:w="705"/>
        <w:gridCol w:w="563"/>
        <w:gridCol w:w="705"/>
        <w:gridCol w:w="528"/>
        <w:gridCol w:w="528"/>
        <w:gridCol w:w="528"/>
        <w:gridCol w:w="428"/>
        <w:gridCol w:w="420"/>
        <w:gridCol w:w="554"/>
        <w:gridCol w:w="416"/>
        <w:gridCol w:w="415"/>
        <w:gridCol w:w="415"/>
        <w:gridCol w:w="415"/>
        <w:gridCol w:w="423"/>
        <w:gridCol w:w="806"/>
      </w:tblGrid>
      <w:tr>
        <w:trPr>
          <w:trHeight w:val="320" w:hRule="auto"/>
          <w:jc w:val="left"/>
          <w:cantSplit w:val="1"/>
        </w:trPr>
        <w:tc>
          <w:tcPr>
            <w:tcW w:w="6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Період звітності</w:t>
            </w:r>
          </w:p>
        </w:tc>
        <w:tc>
          <w:tcPr>
            <w:tcW w:w="8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Залишок звернень на початок звітного періоду</w:t>
            </w:r>
          </w:p>
        </w:tc>
        <w:tc>
          <w:tcPr>
            <w:tcW w:w="7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Надійшло звернень за звітній період</w:t>
            </w:r>
          </w:p>
        </w:tc>
        <w:tc>
          <w:tcPr>
            <w:tcW w:w="59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w:t>
            </w:r>
          </w:p>
        </w:tc>
        <w:tc>
          <w:tcPr>
            <w:tcW w:w="19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 тому числі</w:t>
            </w:r>
          </w:p>
        </w:tc>
        <w:tc>
          <w:tcPr>
            <w:tcW w:w="243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Звернення, що надійшли від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c>
          <w:tcPr>
            <w:tcW w:w="2638"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Строки розгляду звернень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c>
          <w:tcPr>
            <w:tcW w:w="80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Залишок не розглянутих звернень</w:t>
            </w:r>
          </w:p>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r>
      <w:tr>
        <w:trPr>
          <w:trHeight w:val="320" w:hRule="auto"/>
          <w:jc w:val="left"/>
        </w:trPr>
        <w:tc>
          <w:tcPr>
            <w:tcW w:w="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Заяв, пропозицій</w:t>
            </w:r>
          </w:p>
        </w:tc>
        <w:tc>
          <w:tcPr>
            <w:tcW w:w="126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скарг</w:t>
            </w:r>
          </w:p>
        </w:tc>
        <w:tc>
          <w:tcPr>
            <w:tcW w:w="52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Громадян</w:t>
            </w:r>
          </w:p>
        </w:tc>
        <w:tc>
          <w:tcPr>
            <w:tcW w:w="52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Народних депутатів</w:t>
            </w:r>
          </w:p>
        </w:tc>
        <w:tc>
          <w:tcPr>
            <w:tcW w:w="52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Вищих органів влади</w:t>
            </w:r>
          </w:p>
        </w:tc>
        <w:tc>
          <w:tcPr>
            <w:tcW w:w="42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Юридичних осіб</w:t>
            </w:r>
          </w:p>
        </w:tc>
        <w:tc>
          <w:tcPr>
            <w:tcW w:w="4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Інших осіб</w:t>
            </w:r>
          </w:p>
        </w:tc>
        <w:tc>
          <w:tcPr>
            <w:tcW w:w="5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 розглянуто звернень</w:t>
            </w:r>
          </w:p>
        </w:tc>
        <w:tc>
          <w:tcPr>
            <w:tcW w:w="2084"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 тому числі</w:t>
            </w:r>
          </w:p>
        </w:tc>
        <w:tc>
          <w:tcPr>
            <w:tcW w:w="8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r>
      <w:tr>
        <w:trPr>
          <w:trHeight w:val="275" w:hRule="auto"/>
          <w:jc w:val="left"/>
        </w:trPr>
        <w:tc>
          <w:tcPr>
            <w:tcW w:w="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w:t>
            </w:r>
          </w:p>
        </w:tc>
        <w:tc>
          <w:tcPr>
            <w:tcW w:w="70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 них повторних</w:t>
            </w:r>
          </w:p>
        </w:tc>
        <w:tc>
          <w:tcPr>
            <w:tcW w:w="5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5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5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4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4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5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2084"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8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r>
      <w:tr>
        <w:trPr>
          <w:trHeight w:val="1170" w:hRule="auto"/>
          <w:jc w:val="left"/>
        </w:trPr>
        <w:tc>
          <w:tcPr>
            <w:tcW w:w="6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9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5 діб</w:t>
            </w: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15 діб</w:t>
            </w: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30 діб</w:t>
            </w: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До 45 діб</w:t>
            </w:r>
          </w:p>
        </w:tc>
        <w:tc>
          <w:tcPr>
            <w:tcW w:w="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більше 45 діб</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45" w:hRule="auto"/>
          <w:jc w:val="left"/>
        </w:trPr>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5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w:t>
            </w: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w:t>
            </w:r>
          </w:p>
        </w:tc>
        <w:tc>
          <w:tcPr>
            <w:tcW w:w="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p>
        </w:tc>
        <w:tc>
          <w:tcPr>
            <w:tcW w:w="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w:t>
            </w:r>
          </w:p>
        </w:tc>
      </w:tr>
      <w:tr>
        <w:trPr>
          <w:trHeight w:val="1040" w:hRule="auto"/>
          <w:jc w:val="left"/>
        </w:trPr>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Попередній аналогічний звітний період</w:t>
            </w:r>
          </w:p>
        </w:tc>
        <w:tc>
          <w:tcPr>
            <w:tcW w:w="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w:t>
            </w:r>
          </w:p>
          <w:p>
            <w:pPr>
              <w:spacing w:before="0" w:after="0" w:line="240"/>
              <w:ind w:right="0" w:left="0" w:firstLine="0"/>
              <w:jc w:val="center"/>
              <w:rPr>
                <w:rFonts w:ascii="Calibri" w:hAnsi="Calibri" w:cs="Calibri" w:eastAsia="Calibri"/>
                <w:color w:val="auto"/>
                <w:spacing w:val="0"/>
                <w:position w:val="0"/>
                <w:shd w:fill="auto" w:val="clear"/>
              </w:rPr>
            </w:pPr>
          </w:p>
        </w:tc>
        <w:tc>
          <w:tcPr>
            <w:tcW w:w="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p>
          <w:p>
            <w:pPr>
              <w:spacing w:before="0" w:after="0" w:line="240"/>
              <w:ind w:right="0" w:left="0" w:firstLine="0"/>
              <w:jc w:val="center"/>
              <w:rPr>
                <w:rFonts w:ascii="Calibri" w:hAnsi="Calibri" w:cs="Calibri" w:eastAsia="Calibri"/>
                <w:color w:val="auto"/>
                <w:spacing w:val="0"/>
                <w:position w:val="0"/>
                <w:shd w:fill="auto" w:val="clear"/>
              </w:rPr>
            </w:pPr>
          </w:p>
        </w:tc>
        <w:tc>
          <w:tcPr>
            <w:tcW w:w="5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11</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52" w:firstLine="252"/>
              <w:jc w:val="center"/>
              <w:rPr>
                <w:rFonts w:ascii="Calibri" w:hAnsi="Calibri" w:cs="Calibri" w:eastAsia="Calibri"/>
                <w:color w:val="auto"/>
                <w:spacing w:val="0"/>
                <w:position w:val="0"/>
                <w:sz w:val="20"/>
                <w:shd w:fill="auto" w:val="clear"/>
              </w:rPr>
            </w:pPr>
          </w:p>
          <w:p>
            <w:pPr>
              <w:spacing w:before="0" w:after="0" w:line="240"/>
              <w:ind w:right="0" w:left="-252" w:firstLine="252"/>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w:t>
            </w:r>
          </w:p>
          <w:p>
            <w:pPr>
              <w:spacing w:before="0" w:after="0" w:line="240"/>
              <w:ind w:right="0" w:left="-252" w:firstLine="252"/>
              <w:jc w:val="center"/>
              <w:rPr>
                <w:rFonts w:ascii="Calibri" w:hAnsi="Calibri" w:cs="Calibri" w:eastAsia="Calibri"/>
                <w:color w:val="auto"/>
                <w:spacing w:val="0"/>
                <w:position w:val="0"/>
                <w:shd w:fill="auto" w:val="clear"/>
              </w:rPr>
            </w:pP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w:t>
            </w:r>
          </w:p>
          <w:p>
            <w:pPr>
              <w:spacing w:before="0" w:after="0" w:line="240"/>
              <w:ind w:right="0" w:left="0" w:firstLine="0"/>
              <w:jc w:val="center"/>
              <w:rPr>
                <w:rFonts w:ascii="Calibri" w:hAnsi="Calibri" w:cs="Calibri" w:eastAsia="Calibri"/>
                <w:color w:val="auto"/>
                <w:spacing w:val="0"/>
                <w:position w:val="0"/>
                <w:shd w:fill="auto" w:val="clear"/>
              </w:rPr>
            </w:pP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w:t>
            </w:r>
          </w:p>
          <w:p>
            <w:pPr>
              <w:spacing w:before="0" w:after="0" w:line="240"/>
              <w:ind w:right="0" w:left="0" w:firstLine="0"/>
              <w:jc w:val="center"/>
              <w:rPr>
                <w:rFonts w:ascii="Calibri" w:hAnsi="Calibri" w:cs="Calibri" w:eastAsia="Calibri"/>
                <w:color w:val="auto"/>
                <w:spacing w:val="0"/>
                <w:position w:val="0"/>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p>
          <w:p>
            <w:pPr>
              <w:spacing w:before="0" w:after="0" w:line="240"/>
              <w:ind w:right="0" w:left="0" w:firstLine="0"/>
              <w:jc w:val="left"/>
              <w:rPr>
                <w:rFonts w:ascii="Calibri" w:hAnsi="Calibri" w:cs="Calibri" w:eastAsia="Calibri"/>
                <w:color w:val="auto"/>
                <w:spacing w:val="0"/>
                <w:position w:val="0"/>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w:t>
            </w:r>
          </w:p>
          <w:p>
            <w:pPr>
              <w:spacing w:before="0" w:after="0" w:line="240"/>
              <w:ind w:right="0" w:left="0" w:firstLine="0"/>
              <w:jc w:val="center"/>
              <w:rPr>
                <w:rFonts w:ascii="Calibri" w:hAnsi="Calibri" w:cs="Calibri" w:eastAsia="Calibri"/>
                <w:color w:val="auto"/>
                <w:spacing w:val="0"/>
                <w:position w:val="0"/>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r>
          </w:p>
          <w:p>
            <w:pPr>
              <w:spacing w:before="0" w:after="0" w:line="240"/>
              <w:ind w:right="0" w:left="0" w:firstLine="0"/>
              <w:jc w:val="center"/>
              <w:rPr>
                <w:rFonts w:ascii="Calibri" w:hAnsi="Calibri" w:cs="Calibri" w:eastAsia="Calibri"/>
                <w:color w:val="auto"/>
                <w:spacing w:val="0"/>
                <w:position w:val="0"/>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r>
        <w:trPr>
          <w:trHeight w:val="2491" w:hRule="auto"/>
          <w:jc w:val="left"/>
        </w:trPr>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Звітний ріодпе</w:t>
            </w:r>
          </w:p>
        </w:tc>
        <w:tc>
          <w:tcPr>
            <w:tcW w:w="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r>
          </w:p>
          <w:p>
            <w:pPr>
              <w:spacing w:before="0" w:after="0" w:line="240"/>
              <w:ind w:right="0" w:left="0" w:firstLine="0"/>
              <w:jc w:val="center"/>
              <w:rPr>
                <w:rFonts w:ascii="Calibri" w:hAnsi="Calibri" w:cs="Calibri" w:eastAsia="Calibri"/>
                <w:color w:val="auto"/>
                <w:spacing w:val="0"/>
                <w:position w:val="0"/>
                <w:shd w:fill="auto" w:val="clear"/>
              </w:rPr>
            </w:pPr>
          </w:p>
        </w:tc>
        <w:tc>
          <w:tcPr>
            <w:tcW w:w="5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r>
          </w:p>
          <w:p>
            <w:pPr>
              <w:spacing w:before="0" w:after="0" w:line="240"/>
              <w:ind w:right="0" w:left="0" w:firstLine="0"/>
              <w:jc w:val="center"/>
              <w:rPr>
                <w:rFonts w:ascii="Calibri" w:hAnsi="Calibri" w:cs="Calibri" w:eastAsia="Calibri"/>
                <w:color w:val="auto"/>
                <w:spacing w:val="0"/>
                <w:position w:val="0"/>
                <w:shd w:fill="auto" w:val="clear"/>
              </w:rPr>
            </w:pP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p>
          <w:p>
            <w:pPr>
              <w:spacing w:before="0" w:after="0" w:line="240"/>
              <w:ind w:right="0" w:left="0" w:firstLine="0"/>
              <w:jc w:val="center"/>
              <w:rPr>
                <w:rFonts w:ascii="Calibri" w:hAnsi="Calibri" w:cs="Calibri" w:eastAsia="Calibri"/>
                <w:color w:val="auto"/>
                <w:spacing w:val="0"/>
                <w:position w:val="0"/>
                <w:shd w:fill="auto" w:val="clear"/>
              </w:rPr>
            </w:pPr>
          </w:p>
        </w:tc>
        <w:tc>
          <w:tcPr>
            <w:tcW w:w="5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7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52" w:firstLine="252"/>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w:t>
            </w:r>
          </w:p>
          <w:p>
            <w:pPr>
              <w:spacing w:before="0" w:after="0" w:line="240"/>
              <w:ind w:right="0" w:left="-252" w:firstLine="252"/>
              <w:jc w:val="center"/>
              <w:rPr>
                <w:rFonts w:ascii="Calibri" w:hAnsi="Calibri" w:cs="Calibri" w:eastAsia="Calibri"/>
                <w:color w:val="auto"/>
                <w:spacing w:val="0"/>
                <w:position w:val="0"/>
                <w:shd w:fill="auto" w:val="clear"/>
              </w:rPr>
            </w:pP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r>
          </w:p>
          <w:p>
            <w:pPr>
              <w:spacing w:before="0" w:after="0" w:line="240"/>
              <w:ind w:right="0" w:left="0" w:firstLine="0"/>
              <w:jc w:val="center"/>
              <w:rPr>
                <w:rFonts w:ascii="Calibri" w:hAnsi="Calibri" w:cs="Calibri" w:eastAsia="Calibri"/>
                <w:color w:val="auto"/>
                <w:spacing w:val="0"/>
                <w:position w:val="0"/>
                <w:shd w:fill="auto" w:val="clear"/>
              </w:rPr>
            </w:pP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center"/>
              <w:rPr>
                <w:rFonts w:ascii="Calibri" w:hAnsi="Calibri" w:cs="Calibri" w:eastAsia="Calibri"/>
                <w:color w:val="auto"/>
                <w:spacing w:val="0"/>
                <w:position w:val="0"/>
                <w:shd w:fill="auto" w:val="clear"/>
              </w:rPr>
            </w:pPr>
          </w:p>
        </w:tc>
        <w:tc>
          <w:tcPr>
            <w:tcW w:w="5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center"/>
              <w:rPr>
                <w:rFonts w:ascii="Calibri" w:hAnsi="Calibri" w:cs="Calibri" w:eastAsia="Calibri"/>
                <w:color w:val="auto"/>
                <w:spacing w:val="0"/>
                <w:position w:val="0"/>
                <w:shd w:fill="auto" w:val="clear"/>
              </w:rPr>
            </w:pPr>
          </w:p>
        </w:tc>
        <w:tc>
          <w:tcPr>
            <w:tcW w:w="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center"/>
              <w:rPr>
                <w:rFonts w:ascii="Calibri" w:hAnsi="Calibri" w:cs="Calibri" w:eastAsia="Calibri"/>
                <w:color w:val="auto"/>
                <w:spacing w:val="0"/>
                <w:position w:val="0"/>
                <w:shd w:fill="auto" w:val="clear"/>
              </w:rPr>
            </w:pPr>
          </w:p>
        </w:tc>
        <w:tc>
          <w:tcPr>
            <w:tcW w:w="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Calibri" w:hAnsi="Calibri" w:cs="Calibri" w:eastAsia="Calibri"/>
                <w:color w:val="auto"/>
                <w:spacing w:val="0"/>
                <w:position w:val="0"/>
                <w:shd w:fill="auto" w:val="clear"/>
              </w:rPr>
            </w:pPr>
          </w:p>
        </w:tc>
        <w:tc>
          <w:tcPr>
            <w:tcW w:w="5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r>
          </w:p>
          <w:p>
            <w:pPr>
              <w:spacing w:before="0" w:after="0" w:line="240"/>
              <w:ind w:right="0" w:left="0" w:firstLine="0"/>
              <w:jc w:val="center"/>
              <w:rPr>
                <w:rFonts w:ascii="Calibri" w:hAnsi="Calibri" w:cs="Calibri" w:eastAsia="Calibri"/>
                <w:color w:val="auto"/>
                <w:spacing w:val="0"/>
                <w:position w:val="0"/>
                <w:shd w:fill="auto" w:val="clear"/>
              </w:rPr>
            </w:pPr>
          </w:p>
        </w:tc>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r>
          </w:p>
          <w:p>
            <w:pPr>
              <w:spacing w:before="0" w:after="0" w:line="240"/>
              <w:ind w:right="0" w:left="0" w:firstLine="0"/>
              <w:jc w:val="center"/>
              <w:rPr>
                <w:rFonts w:ascii="Calibri" w:hAnsi="Calibri" w:cs="Calibri" w:eastAsia="Calibri"/>
                <w:color w:val="auto"/>
                <w:spacing w:val="0"/>
                <w:position w:val="0"/>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r>
          </w:p>
          <w:p>
            <w:pPr>
              <w:spacing w:before="0" w:after="0" w:line="240"/>
              <w:ind w:right="0" w:left="0" w:firstLine="0"/>
              <w:jc w:val="center"/>
              <w:rPr>
                <w:rFonts w:ascii="Calibri" w:hAnsi="Calibri" w:cs="Calibri" w:eastAsia="Calibri"/>
                <w:color w:val="auto"/>
                <w:spacing w:val="0"/>
                <w:position w:val="0"/>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r>
          </w:p>
          <w:p>
            <w:pPr>
              <w:spacing w:before="0" w:after="0" w:line="240"/>
              <w:ind w:right="0" w:left="0" w:firstLine="0"/>
              <w:jc w:val="center"/>
              <w:rPr>
                <w:rFonts w:ascii="Calibri" w:hAnsi="Calibri" w:cs="Calibri" w:eastAsia="Calibri"/>
                <w:color w:val="auto"/>
                <w:spacing w:val="0"/>
                <w:position w:val="0"/>
                <w:shd w:fill="auto" w:val="clear"/>
              </w:rPr>
            </w:pPr>
          </w:p>
        </w:tc>
        <w:tc>
          <w:tcPr>
            <w:tcW w:w="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4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c>
          <w:tcPr>
            <w:tcW w:w="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p>
        </w:tc>
      </w:tr>
    </w:tbl>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Розділ Б. Результати розгляду скарг громадян</w:t>
      </w:r>
    </w:p>
    <w:tbl>
      <w:tblPr/>
      <w:tblGrid>
        <w:gridCol w:w="988"/>
        <w:gridCol w:w="1134"/>
        <w:gridCol w:w="992"/>
        <w:gridCol w:w="1134"/>
        <w:gridCol w:w="1276"/>
        <w:gridCol w:w="850"/>
        <w:gridCol w:w="992"/>
        <w:gridCol w:w="851"/>
        <w:gridCol w:w="1134"/>
        <w:gridCol w:w="992"/>
        <w:gridCol w:w="425"/>
      </w:tblGrid>
      <w:tr>
        <w:trPr>
          <w:trHeight w:val="456" w:hRule="auto"/>
          <w:jc w:val="left"/>
          <w:cantSplit w:val="1"/>
        </w:trPr>
        <w:tc>
          <w:tcPr>
            <w:tcW w:w="9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Період звітності</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 скарг (гр.5 розділ А)</w:t>
            </w:r>
          </w:p>
        </w:tc>
        <w:tc>
          <w:tcPr>
            <w:tcW w:w="5244"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Розглянуто скарг</w:t>
            </w:r>
          </w:p>
        </w:tc>
        <w:tc>
          <w:tcPr>
            <w:tcW w:w="198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Скарги визнані </w:t>
            </w:r>
          </w:p>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з гр. 3)</w:t>
            </w:r>
          </w:p>
        </w:tc>
        <w:tc>
          <w:tcPr>
            <w:tcW w:w="141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Реагування на причини</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надходження (з гр. 2)</w:t>
            </w:r>
          </w:p>
        </w:tc>
      </w:tr>
      <w:tr>
        <w:trPr>
          <w:trHeight w:val="464" w:hRule="auto"/>
          <w:jc w:val="left"/>
        </w:trPr>
        <w:tc>
          <w:tcPr>
            <w:tcW w:w="9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усього</w:t>
            </w:r>
          </w:p>
        </w:tc>
        <w:tc>
          <w:tcPr>
            <w:tcW w:w="24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 тому числі</w:t>
            </w:r>
          </w:p>
        </w:tc>
        <w:tc>
          <w:tcPr>
            <w:tcW w:w="85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Зали-</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шено</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без</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розгляду</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або роз”яснено повно-</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важення </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Залишок</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не розглянутих</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скарг</w:t>
            </w:r>
          </w:p>
        </w:tc>
        <w:tc>
          <w:tcPr>
            <w:tcW w:w="8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обгрун</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тованими</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необгрун</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тованими</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Притяг-</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нення до дисциплінарної</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відповідальності</w:t>
            </w:r>
          </w:p>
          <w:p>
            <w:pPr>
              <w:widowControl w:val="false"/>
              <w:spacing w:before="0" w:after="0" w:line="240"/>
              <w:ind w:right="0" w:left="-277" w:firstLine="277"/>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працівни</w:t>
            </w:r>
          </w:p>
          <w:p>
            <w:pPr>
              <w:widowControl w:val="false"/>
              <w:spacing w:before="0" w:after="0" w:line="240"/>
              <w:ind w:right="0" w:left="-277" w:firstLine="277"/>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ків   </w:t>
            </w:r>
          </w:p>
          <w:p>
            <w:pPr>
              <w:widowControl w:val="false"/>
              <w:spacing w:before="0" w:after="0" w:line="240"/>
              <w:ind w:right="0" w:left="-277" w:firstLine="277"/>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апарату</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суду</w:t>
            </w:r>
          </w:p>
          <w:p>
            <w:pPr>
              <w:spacing w:before="0" w:after="0" w:line="240"/>
              <w:ind w:right="0" w:left="0" w:firstLine="0"/>
              <w:jc w:val="center"/>
              <w:rPr>
                <w:rFonts w:ascii="Calibri" w:hAnsi="Calibri" w:cs="Calibri" w:eastAsia="Calibri"/>
                <w:color w:val="auto"/>
                <w:spacing w:val="0"/>
                <w:position w:val="0"/>
                <w:shd w:fill="auto" w:val="clear"/>
              </w:rPr>
            </w:pPr>
          </w:p>
        </w:tc>
        <w:tc>
          <w:tcPr>
            <w:tcW w:w="42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І</w:t>
            </w:r>
          </w:p>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нше</w:t>
            </w:r>
          </w:p>
        </w:tc>
      </w:tr>
      <w:tr>
        <w:trPr>
          <w:trHeight w:val="864" w:hRule="auto"/>
          <w:jc w:val="left"/>
        </w:trPr>
        <w:tc>
          <w:tcPr>
            <w:tcW w:w="9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відповідь</w:t>
            </w:r>
          </w:p>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надано судом</w:t>
            </w:r>
          </w:p>
          <w:p>
            <w:pPr>
              <w:spacing w:before="0" w:after="0" w:line="240"/>
              <w:ind w:right="0" w:left="0" w:firstLine="0"/>
              <w:jc w:val="center"/>
              <w:rPr>
                <w:rFonts w:ascii="Calibri" w:hAnsi="Calibri" w:cs="Calibri" w:eastAsia="Calibri"/>
                <w:color w:val="auto"/>
                <w:spacing w:val="0"/>
                <w:position w:val="0"/>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надіслано за належністю</w:t>
            </w:r>
          </w:p>
          <w:p>
            <w:pPr>
              <w:spacing w:before="0" w:after="0" w:line="240"/>
              <w:ind w:right="0" w:left="0" w:firstLine="0"/>
              <w:jc w:val="center"/>
              <w:rPr>
                <w:rFonts w:ascii="Calibri" w:hAnsi="Calibri" w:cs="Calibri" w:eastAsia="Calibri"/>
                <w:color w:val="auto"/>
                <w:spacing w:val="0"/>
                <w:position w:val="0"/>
                <w:shd w:fill="auto" w:val="clear"/>
              </w:rPr>
            </w:pPr>
          </w:p>
        </w:tc>
        <w:tc>
          <w:tcPr>
            <w:tcW w:w="85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8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42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r>
      <w:tr>
        <w:trPr>
          <w:trHeight w:val="47" w:hRule="auto"/>
          <w:jc w:val="left"/>
        </w:trPr>
        <w:tc>
          <w:tcPr>
            <w:tcW w:w="9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t>
            </w:r>
          </w:p>
          <w:p>
            <w:pPr>
              <w:widowControl w:val="false"/>
              <w:spacing w:before="0" w:after="0" w:line="240"/>
              <w:ind w:right="0" w:left="0" w:firstLine="0"/>
              <w:jc w:val="center"/>
              <w:rPr>
                <w:rFonts w:ascii="Calibri" w:hAnsi="Calibri" w:cs="Calibri" w:eastAsia="Calibri"/>
                <w:color w:val="auto"/>
                <w:spacing w:val="0"/>
                <w:position w:val="0"/>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w:t>
            </w:r>
          </w:p>
          <w:p>
            <w:pPr>
              <w:widowControl w:val="false"/>
              <w:spacing w:before="0" w:after="0" w:line="240"/>
              <w:ind w:right="0" w:left="0" w:firstLine="0"/>
              <w:jc w:val="center"/>
              <w:rPr>
                <w:rFonts w:ascii="Calibri" w:hAnsi="Calibri" w:cs="Calibri" w:eastAsia="Calibri"/>
                <w:color w:val="auto"/>
                <w:spacing w:val="0"/>
                <w:position w:val="0"/>
                <w:shd w:fill="auto" w:val="clear"/>
              </w:rPr>
            </w:pP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r>
      <w:tr>
        <w:trPr>
          <w:trHeight w:val="820" w:hRule="auto"/>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Попередній аналогічний звітний період</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r>
      <w:tr>
        <w:trPr>
          <w:trHeight w:val="820" w:hRule="auto"/>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Звітний період</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widowControl w:val="fals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Розділ В. Категорії скарг</w:t>
      </w:r>
    </w:p>
    <w:p>
      <w:pPr>
        <w:spacing w:before="0" w:after="0" w:line="240"/>
        <w:ind w:right="0" w:left="0" w:firstLine="0"/>
        <w:jc w:val="left"/>
        <w:rPr>
          <w:rFonts w:ascii="Calibri" w:hAnsi="Calibri" w:cs="Calibri" w:eastAsia="Calibri"/>
          <w:color w:val="auto"/>
          <w:spacing w:val="0"/>
          <w:position w:val="0"/>
          <w:sz w:val="20"/>
          <w:shd w:fill="auto" w:val="clear"/>
        </w:rPr>
      </w:pPr>
    </w:p>
    <w:tbl>
      <w:tblPr/>
      <w:tblGrid>
        <w:gridCol w:w="1254"/>
        <w:gridCol w:w="1194"/>
        <w:gridCol w:w="1312"/>
        <w:gridCol w:w="1194"/>
        <w:gridCol w:w="1094"/>
        <w:gridCol w:w="1353"/>
        <w:gridCol w:w="1190"/>
      </w:tblGrid>
      <w:tr>
        <w:trPr>
          <w:trHeight w:val="1" w:hRule="atLeast"/>
          <w:jc w:val="left"/>
          <w:cantSplit w:val="1"/>
        </w:trPr>
        <w:tc>
          <w:tcPr>
            <w:tcW w:w="12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Періоди звітності</w:t>
            </w:r>
          </w:p>
        </w:tc>
        <w:tc>
          <w:tcPr>
            <w:tcW w:w="733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Скарги отримано на (з гр. 5 розд. А)</w:t>
            </w:r>
          </w:p>
        </w:tc>
      </w:tr>
      <w:tr>
        <w:trPr>
          <w:trHeight w:val="1" w:hRule="atLeast"/>
          <w:jc w:val="left"/>
        </w:trPr>
        <w:tc>
          <w:tcPr>
            <w:tcW w:w="12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Процесуальні дії суддів</w:t>
            </w:r>
          </w:p>
        </w:tc>
        <w:tc>
          <w:tcPr>
            <w:tcW w:w="22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Поведінку працівників суду</w:t>
            </w:r>
          </w:p>
        </w:tc>
        <w:tc>
          <w:tcPr>
            <w:tcW w:w="135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організацію</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роботи</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суду</w:t>
            </w:r>
          </w:p>
        </w:tc>
        <w:tc>
          <w:tcPr>
            <w:tcW w:w="119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інше</w:t>
            </w:r>
          </w:p>
        </w:tc>
      </w:tr>
      <w:tr>
        <w:trPr>
          <w:trHeight w:val="1" w:hRule="atLeast"/>
          <w:jc w:val="left"/>
        </w:trPr>
        <w:tc>
          <w:tcPr>
            <w:tcW w:w="12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всього</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у т.ч. тяганину</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з розгляду справ</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всього</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у т.ч. суддів</w:t>
            </w:r>
          </w:p>
        </w:tc>
        <w:tc>
          <w:tcPr>
            <w:tcW w:w="13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c>
          <w:tcPr>
            <w:tcW w:w="119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p>
        </w:tc>
      </w:tr>
      <w:tr>
        <w:trPr>
          <w:trHeight w:val="1" w:hRule="atLeast"/>
          <w:jc w:val="left"/>
        </w:trPr>
        <w:tc>
          <w:tcPr>
            <w:tcW w:w="12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w:t>
            </w:r>
          </w:p>
          <w:p>
            <w:pPr>
              <w:spacing w:before="0" w:after="0" w:line="240"/>
              <w:ind w:right="0" w:left="0" w:firstLine="0"/>
              <w:jc w:val="center"/>
              <w:rPr>
                <w:rFonts w:ascii="Calibri" w:hAnsi="Calibri" w:cs="Calibri" w:eastAsia="Calibri"/>
                <w:color w:val="auto"/>
                <w:spacing w:val="0"/>
                <w:position w:val="0"/>
                <w:shd w:fill="auto" w:val="clear"/>
              </w:rPr>
            </w:pPr>
          </w:p>
        </w:tc>
      </w:tr>
      <w:tr>
        <w:trPr>
          <w:trHeight w:val="1011" w:hRule="auto"/>
          <w:jc w:val="left"/>
        </w:trPr>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Попередній аналогічний звітний період</w:t>
            </w:r>
          </w:p>
          <w:p>
            <w:pPr>
              <w:spacing w:before="0" w:after="0" w:line="240"/>
              <w:ind w:right="0" w:left="0" w:firstLine="0"/>
              <w:jc w:val="center"/>
              <w:rPr>
                <w:rFonts w:ascii="Calibri" w:hAnsi="Calibri" w:cs="Calibri" w:eastAsia="Calibri"/>
                <w:color w:val="auto"/>
                <w:spacing w:val="0"/>
                <w:position w:val="0"/>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w:t>
            </w:r>
          </w:p>
        </w:tc>
      </w:tr>
      <w:tr>
        <w:trPr>
          <w:trHeight w:val="918" w:hRule="auto"/>
          <w:jc w:val="left"/>
        </w:trPr>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Звітний період</w:t>
            </w:r>
          </w:p>
          <w:p>
            <w:pPr>
              <w:spacing w:before="0" w:after="0" w:line="240"/>
              <w:ind w:right="0" w:left="0" w:firstLine="0"/>
              <w:jc w:val="center"/>
              <w:rPr>
                <w:rFonts w:ascii="Calibri" w:hAnsi="Calibri" w:cs="Calibri" w:eastAsia="Calibri"/>
                <w:color w:val="auto"/>
                <w:spacing w:val="0"/>
                <w:position w:val="0"/>
                <w:shd w:fill="auto" w:val="clear"/>
              </w:rPr>
            </w:pP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w:t>
            </w:r>
          </w:p>
        </w:tc>
        <w:tc>
          <w:tcPr>
            <w:tcW w:w="13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1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c>
          <w:tcPr>
            <w:tcW w:w="13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w:t>
            </w:r>
          </w:p>
        </w:tc>
        <w:tc>
          <w:tcPr>
            <w:tcW w:w="1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w:t>
            </w:r>
          </w:p>
        </w:tc>
      </w:tr>
    </w:tbl>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Голова  Московського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районного суду  м. Харкова                              </w:t>
        <w:tab/>
        <w:tab/>
        <w:tab/>
        <w:tab/>
        <w:tab/>
        <w:t xml:space="preserve">А.Ю. Скотар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Виконавець  Сагун О.М.</w:t>
      </w:r>
    </w:p>
    <w:p>
      <w:pPr>
        <w:spacing w:before="0" w:after="0" w:line="240"/>
        <w:ind w:right="0" w:left="0" w:firstLine="0"/>
        <w:jc w:val="left"/>
        <w:rPr>
          <w:rFonts w:ascii="Times New Roman" w:hAnsi="Times New Roman" w:cs="Times New Roman" w:eastAsia="Times New Roman"/>
          <w:b/>
          <w:i/>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тел. (057) 713-12-99</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